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62" w:right="0" w:firstLine="0"/>
        <w:jc w:val="center"/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color w:val="3a6168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3a6168"/>
          <w:sz w:val="40"/>
          <w:szCs w:val="40"/>
          <w:rtl w:val="0"/>
        </w:rPr>
        <w:t xml:space="preserve">Material de estudio</w:t>
      </w: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color w:val="3a6168"/>
          <w:sz w:val="40"/>
          <w:szCs w:val="40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62" w:right="0" w:firstLine="0"/>
        <w:jc w:val="center"/>
        <w:rPr>
          <w:rFonts w:ascii="Verdana" w:cs="Verdana" w:eastAsia="Verdana" w:hAnsi="Verdana"/>
          <w:color w:val="3a6168"/>
          <w:sz w:val="26"/>
          <w:szCs w:val="26"/>
        </w:rPr>
      </w:pP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color w:val="3a6168"/>
          <w:sz w:val="40"/>
          <w:szCs w:val="4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6"/>
          <w:szCs w:val="26"/>
          <w:rtl w:val="0"/>
        </w:rPr>
        <w:t xml:space="preserve">Redes europeas de empleo y formación: el portal EURES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ind w:left="720" w:hanging="360"/>
        <w:rPr>
          <w:rFonts w:ascii="Verdana" w:cs="Verdana" w:eastAsia="Verdana" w:hAnsi="Verdana"/>
          <w:color w:val="3a6168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3"/>
        <w:keepNext w:val="0"/>
        <w:keepLines w:val="0"/>
        <w:spacing w:after="80" w:before="280" w:lineRule="auto"/>
        <w:ind w:left="720" w:hanging="360"/>
        <w:rPr>
          <w:rFonts w:ascii="Verdana" w:cs="Verdana" w:eastAsia="Verdana" w:hAnsi="Verdana"/>
          <w:color w:val="3a6168"/>
          <w:sz w:val="26"/>
          <w:szCs w:val="26"/>
        </w:rPr>
      </w:pPr>
      <w:bookmarkStart w:colFirst="0" w:colLast="0" w:name="_heading=h.evmyg889baw" w:id="0"/>
      <w:bookmarkEnd w:id="0"/>
      <w:r w:rsidDel="00000000" w:rsidR="00000000" w:rsidRPr="00000000">
        <w:rPr>
          <w:rFonts w:ascii="Verdana" w:cs="Verdana" w:eastAsia="Verdana" w:hAnsi="Verdana"/>
          <w:color w:val="3a6168"/>
          <w:sz w:val="26"/>
          <w:szCs w:val="26"/>
          <w:rtl w:val="0"/>
        </w:rPr>
        <w:t xml:space="preserve">1. ¿Qué es EURES y para qué sirve?</w:t>
      </w:r>
    </w:p>
    <w:p w:rsidR="00000000" w:rsidDel="00000000" w:rsidP="00000000" w:rsidRDefault="00000000" w:rsidRPr="00000000" w14:paraId="00000005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EURES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es la red europea que conecta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ofertas de empleo, formación y asesoramiento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entre los países de la Unión Europea. Su objetivo es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facilitar la movilidad laboral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de forma segura y transparente.</w:t>
      </w:r>
    </w:p>
    <w:p w:rsidR="00000000" w:rsidDel="00000000" w:rsidP="00000000" w:rsidRDefault="00000000" w:rsidRPr="00000000" w14:paraId="00000006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EURES no es una empresa privada ni un portal comercial: es un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servicio público europeo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, coordinado por la Unión Europea y los servicios de empleo de cada país.</w:t>
      </w:r>
    </w:p>
    <w:p w:rsidR="00000000" w:rsidDel="00000000" w:rsidP="00000000" w:rsidRDefault="00000000" w:rsidRPr="00000000" w14:paraId="00000007">
      <w:pPr>
        <w:spacing w:after="0" w:lineRule="auto"/>
        <w:ind w:left="720" w:hanging="360"/>
        <w:rPr>
          <w:rFonts w:ascii="Verdana" w:cs="Verdana" w:eastAsia="Verdana" w:hAnsi="Verdana"/>
          <w:color w:val="3a6168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3"/>
        <w:keepNext w:val="0"/>
        <w:keepLines w:val="0"/>
        <w:spacing w:after="80" w:before="280" w:lineRule="auto"/>
        <w:ind w:left="720" w:hanging="360"/>
        <w:rPr>
          <w:rFonts w:ascii="Verdana" w:cs="Verdana" w:eastAsia="Verdana" w:hAnsi="Verdana"/>
          <w:color w:val="3a6168"/>
          <w:sz w:val="26"/>
          <w:szCs w:val="26"/>
        </w:rPr>
      </w:pPr>
      <w:bookmarkStart w:colFirst="0" w:colLast="0" w:name="_heading=h.h2c04u3jycjo" w:id="1"/>
      <w:bookmarkEnd w:id="1"/>
      <w:r w:rsidDel="00000000" w:rsidR="00000000" w:rsidRPr="00000000">
        <w:rPr>
          <w:rFonts w:ascii="Verdana" w:cs="Verdana" w:eastAsia="Verdana" w:hAnsi="Verdana"/>
          <w:color w:val="3a6168"/>
          <w:sz w:val="26"/>
          <w:szCs w:val="26"/>
          <w:rtl w:val="0"/>
        </w:rPr>
        <w:t xml:space="preserve">2. ¿Qué tipo de información puedes encontrar?</w:t>
      </w:r>
    </w:p>
    <w:p w:rsidR="00000000" w:rsidDel="00000000" w:rsidP="00000000" w:rsidRDefault="00000000" w:rsidRPr="00000000" w14:paraId="00000009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En el portal EURES puedes acceder a:</w:t>
      </w:r>
    </w:p>
    <w:p w:rsidR="00000000" w:rsidDel="00000000" w:rsidP="00000000" w:rsidRDefault="00000000" w:rsidRPr="00000000" w14:paraId="0000000A">
      <w:pPr>
        <w:numPr>
          <w:ilvl w:val="0"/>
          <w:numId w:val="5"/>
        </w:numPr>
        <w:spacing w:after="0" w:afterAutospacing="0" w:before="24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Ofertas de empleo en distintos países europeos.</w:t>
        <w:br w:type="textWrapping"/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Información sobre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condiciones de vida y trabajo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en cada país.</w:t>
        <w:br w:type="textWrapping"/>
      </w:r>
    </w:p>
    <w:p w:rsidR="00000000" w:rsidDel="00000000" w:rsidP="00000000" w:rsidRDefault="00000000" w:rsidRPr="00000000" w14:paraId="0000000C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Requisitos habituales para trabajar en sectores concretos.</w:t>
        <w:br w:type="textWrapping"/>
      </w:r>
    </w:p>
    <w:p w:rsidR="00000000" w:rsidDel="00000000" w:rsidP="00000000" w:rsidRDefault="00000000" w:rsidRPr="00000000" w14:paraId="0000000D">
      <w:pPr>
        <w:numPr>
          <w:ilvl w:val="0"/>
          <w:numId w:val="5"/>
        </w:numPr>
        <w:spacing w:after="24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Datos de contacto de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consejeros EURES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, especializados en movilidad.</w:t>
        <w:br w:type="textWrapping"/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Esta información te permite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comparar opciones antes de tomar decisiones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.</w:t>
      </w:r>
    </w:p>
    <w:p w:rsidR="00000000" w:rsidDel="00000000" w:rsidP="00000000" w:rsidRDefault="00000000" w:rsidRPr="00000000" w14:paraId="0000000F">
      <w:pPr>
        <w:spacing w:after="0" w:lineRule="auto"/>
        <w:ind w:left="720" w:hanging="360"/>
        <w:rPr>
          <w:rFonts w:ascii="Verdana" w:cs="Verdana" w:eastAsia="Verdana" w:hAnsi="Verdana"/>
          <w:color w:val="3a6168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3"/>
        <w:keepNext w:val="0"/>
        <w:keepLines w:val="0"/>
        <w:spacing w:after="80" w:before="280" w:lineRule="auto"/>
        <w:ind w:left="720" w:hanging="360"/>
        <w:rPr>
          <w:rFonts w:ascii="Verdana" w:cs="Verdana" w:eastAsia="Verdana" w:hAnsi="Verdana"/>
          <w:color w:val="3a6168"/>
          <w:sz w:val="26"/>
          <w:szCs w:val="26"/>
        </w:rPr>
      </w:pPr>
      <w:bookmarkStart w:colFirst="0" w:colLast="0" w:name="_heading=h.p4n4lhvdptt9" w:id="2"/>
      <w:bookmarkEnd w:id="2"/>
      <w:r w:rsidDel="00000000" w:rsidR="00000000" w:rsidRPr="00000000">
        <w:rPr>
          <w:rFonts w:ascii="Verdana" w:cs="Verdana" w:eastAsia="Verdana" w:hAnsi="Verdana"/>
          <w:color w:val="3a6168"/>
          <w:sz w:val="26"/>
          <w:szCs w:val="26"/>
          <w:rtl w:val="0"/>
        </w:rPr>
        <w:t xml:space="preserve">3. Cómo se presentan las ofertas en EURES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Las ofertas de EURES suelen incluir:</w:t>
      </w:r>
    </w:p>
    <w:p w:rsidR="00000000" w:rsidDel="00000000" w:rsidP="00000000" w:rsidRDefault="00000000" w:rsidRPr="00000000" w14:paraId="00000012">
      <w:pPr>
        <w:numPr>
          <w:ilvl w:val="0"/>
          <w:numId w:val="4"/>
        </w:numPr>
        <w:spacing w:after="0" w:afterAutospacing="0" w:before="24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Perfil profesional solicitado.</w:t>
        <w:br w:type="textWrapping"/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Requisitos de formación o experiencia.</w:t>
        <w:br w:type="textWrapping"/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Condiciones laborales básicas.</w:t>
        <w:br w:type="textWrapping"/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Idioma requerido o recomendado.</w:t>
        <w:br w:type="textWrapping"/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spacing w:after="24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Procedimiento de contacto o candidatura.</w:t>
        <w:br w:type="textWrapping"/>
      </w:r>
    </w:p>
    <w:p w:rsidR="00000000" w:rsidDel="00000000" w:rsidP="00000000" w:rsidRDefault="00000000" w:rsidRPr="00000000" w14:paraId="00000017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Aprender a leer una oferta completa ayuda a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evitar malentendidos y falsas expectativas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.</w:t>
      </w:r>
    </w:p>
    <w:p w:rsidR="00000000" w:rsidDel="00000000" w:rsidP="00000000" w:rsidRDefault="00000000" w:rsidRPr="00000000" w14:paraId="00000018">
      <w:pPr>
        <w:spacing w:after="0" w:lineRule="auto"/>
        <w:ind w:left="720" w:hanging="360"/>
        <w:rPr>
          <w:rFonts w:ascii="Verdana" w:cs="Verdana" w:eastAsia="Verdana" w:hAnsi="Verdana"/>
          <w:color w:val="3a6168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3"/>
        <w:keepNext w:val="0"/>
        <w:keepLines w:val="0"/>
        <w:spacing w:after="80" w:before="280" w:lineRule="auto"/>
        <w:ind w:left="720" w:hanging="360"/>
        <w:rPr>
          <w:rFonts w:ascii="Verdana" w:cs="Verdana" w:eastAsia="Verdana" w:hAnsi="Verdana"/>
          <w:color w:val="3a6168"/>
          <w:sz w:val="26"/>
          <w:szCs w:val="26"/>
        </w:rPr>
      </w:pPr>
      <w:bookmarkStart w:colFirst="0" w:colLast="0" w:name="_heading=h.6w1mmtq3ubyo" w:id="3"/>
      <w:bookmarkEnd w:id="3"/>
      <w:r w:rsidDel="00000000" w:rsidR="00000000" w:rsidRPr="00000000">
        <w:rPr>
          <w:rFonts w:ascii="Verdana" w:cs="Verdana" w:eastAsia="Verdana" w:hAnsi="Verdana"/>
          <w:color w:val="3a6168"/>
          <w:sz w:val="26"/>
          <w:szCs w:val="26"/>
          <w:rtl w:val="0"/>
        </w:rPr>
        <w:t xml:space="preserve">4. ¿Qué no es EURES?</w:t>
      </w:r>
    </w:p>
    <w:p w:rsidR="00000000" w:rsidDel="00000000" w:rsidP="00000000" w:rsidRDefault="00000000" w:rsidRPr="00000000" w14:paraId="0000001A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Es importante tener claro que EURES: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pacing w:after="0" w:afterAutospacing="0" w:before="24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No garantiza un puesto de trabajo.</w:t>
        <w:br w:type="textWrapping"/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No gestiona directamente contratos.</w:t>
        <w:br w:type="textWrapping"/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after="24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No sustituye a los servicios de empleo nacionales.</w:t>
        <w:br w:type="textWrapping"/>
      </w:r>
    </w:p>
    <w:p w:rsidR="00000000" w:rsidDel="00000000" w:rsidP="00000000" w:rsidRDefault="00000000" w:rsidRPr="00000000" w14:paraId="0000001E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Su valor está en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centralizar información fiable y actualizada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.</w:t>
      </w:r>
    </w:p>
    <w:p w:rsidR="00000000" w:rsidDel="00000000" w:rsidP="00000000" w:rsidRDefault="00000000" w:rsidRPr="00000000" w14:paraId="0000001F">
      <w:pPr>
        <w:spacing w:after="0" w:lineRule="auto"/>
        <w:ind w:left="720" w:hanging="360"/>
        <w:rPr>
          <w:rFonts w:ascii="Verdana" w:cs="Verdana" w:eastAsia="Verdana" w:hAnsi="Verdana"/>
          <w:color w:val="3a6168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3"/>
        <w:keepNext w:val="0"/>
        <w:keepLines w:val="0"/>
        <w:spacing w:after="80" w:before="280" w:lineRule="auto"/>
        <w:ind w:left="720" w:hanging="360"/>
        <w:rPr>
          <w:rFonts w:ascii="Verdana" w:cs="Verdana" w:eastAsia="Verdana" w:hAnsi="Verdana"/>
          <w:color w:val="3a6168"/>
          <w:sz w:val="26"/>
          <w:szCs w:val="26"/>
        </w:rPr>
      </w:pPr>
      <w:bookmarkStart w:colFirst="0" w:colLast="0" w:name="_heading=h.uk4mp9kj3s9x" w:id="4"/>
      <w:bookmarkEnd w:id="4"/>
      <w:r w:rsidDel="00000000" w:rsidR="00000000" w:rsidRPr="00000000">
        <w:rPr>
          <w:rFonts w:ascii="Verdana" w:cs="Verdana" w:eastAsia="Verdana" w:hAnsi="Verdana"/>
          <w:color w:val="3a6168"/>
          <w:sz w:val="26"/>
          <w:szCs w:val="26"/>
          <w:rtl w:val="0"/>
        </w:rPr>
        <w:t xml:space="preserve">5. EURES y otros servicios de empleo</w:t>
      </w:r>
    </w:p>
    <w:p w:rsidR="00000000" w:rsidDel="00000000" w:rsidP="00000000" w:rsidRDefault="00000000" w:rsidRPr="00000000" w14:paraId="00000021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EURES funciona de forma coordinada con:</w:t>
      </w:r>
    </w:p>
    <w:p w:rsidR="00000000" w:rsidDel="00000000" w:rsidP="00000000" w:rsidRDefault="00000000" w:rsidRPr="00000000" w14:paraId="00000022">
      <w:pPr>
        <w:numPr>
          <w:ilvl w:val="0"/>
          <w:numId w:val="6"/>
        </w:numPr>
        <w:spacing w:after="0" w:afterAutospacing="0" w:before="24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Servicios públicos de empleo nacionales y autonómicos.</w:t>
        <w:br w:type="textWrapping"/>
      </w:r>
    </w:p>
    <w:p w:rsidR="00000000" w:rsidDel="00000000" w:rsidP="00000000" w:rsidRDefault="00000000" w:rsidRPr="00000000" w14:paraId="00000023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Programas europeos de movilidad y formación.</w:t>
        <w:br w:type="textWrapping"/>
      </w:r>
    </w:p>
    <w:p w:rsidR="00000000" w:rsidDel="00000000" w:rsidP="00000000" w:rsidRDefault="00000000" w:rsidRPr="00000000" w14:paraId="00000024">
      <w:pPr>
        <w:numPr>
          <w:ilvl w:val="0"/>
          <w:numId w:val="6"/>
        </w:numPr>
        <w:spacing w:after="24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Administraciones que asesoran sobre derechos laborales.</w:t>
        <w:br w:type="textWrapping"/>
      </w:r>
    </w:p>
    <w:p w:rsidR="00000000" w:rsidDel="00000000" w:rsidP="00000000" w:rsidRDefault="00000000" w:rsidRPr="00000000" w14:paraId="00000025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Esto significa que una búsqueda iniciada en EURES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puede continuar en canales nacionales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, sin perder coherencia.</w:t>
      </w:r>
    </w:p>
    <w:p w:rsidR="00000000" w:rsidDel="00000000" w:rsidP="00000000" w:rsidRDefault="00000000" w:rsidRPr="00000000" w14:paraId="00000026">
      <w:pPr>
        <w:spacing w:after="0" w:lineRule="auto"/>
        <w:ind w:left="720" w:hanging="360"/>
        <w:rPr>
          <w:rFonts w:ascii="Verdana" w:cs="Verdana" w:eastAsia="Verdana" w:hAnsi="Verdana"/>
          <w:color w:val="3a6168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3"/>
        <w:keepNext w:val="0"/>
        <w:keepLines w:val="0"/>
        <w:spacing w:after="80" w:before="280" w:lineRule="auto"/>
        <w:ind w:left="720" w:hanging="360"/>
        <w:rPr>
          <w:rFonts w:ascii="Verdana" w:cs="Verdana" w:eastAsia="Verdana" w:hAnsi="Verdana"/>
          <w:color w:val="3a6168"/>
          <w:sz w:val="26"/>
          <w:szCs w:val="26"/>
        </w:rPr>
      </w:pPr>
      <w:bookmarkStart w:colFirst="0" w:colLast="0" w:name="_heading=h.4vn88yc76unk" w:id="5"/>
      <w:bookmarkEnd w:id="5"/>
      <w:r w:rsidDel="00000000" w:rsidR="00000000" w:rsidRPr="00000000">
        <w:rPr>
          <w:rFonts w:ascii="Verdana" w:cs="Verdana" w:eastAsia="Verdana" w:hAnsi="Verdana"/>
          <w:color w:val="3a6168"/>
          <w:sz w:val="26"/>
          <w:szCs w:val="26"/>
          <w:rtl w:val="0"/>
        </w:rPr>
        <w:t xml:space="preserve">6. Uso responsable del portal</w:t>
      </w:r>
    </w:p>
    <w:p w:rsidR="00000000" w:rsidDel="00000000" w:rsidP="00000000" w:rsidRDefault="00000000" w:rsidRPr="00000000" w14:paraId="00000028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Para aprovechar EURES de forma adecuada:</w:t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spacing w:after="0" w:afterAutospacing="0" w:before="24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Contrasta siempre la información.</w:t>
        <w:br w:type="textWrapping"/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Lee con atención los requisitos.</w:t>
        <w:br w:type="textWrapping"/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Evita intermediarios no oficiales.</w:t>
        <w:br w:type="textWrapping"/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spacing w:after="24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Prioriza el contacto a través de canales indicados en el portal.</w:t>
        <w:br w:type="textWrapping"/>
      </w:r>
    </w:p>
    <w:p w:rsidR="00000000" w:rsidDel="00000000" w:rsidP="00000000" w:rsidRDefault="00000000" w:rsidRPr="00000000" w14:paraId="0000002D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La movilidad europea es una oportunidad, pero requiere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información y planificación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.</w:t>
      </w:r>
    </w:p>
    <w:p w:rsidR="00000000" w:rsidDel="00000000" w:rsidP="00000000" w:rsidRDefault="00000000" w:rsidRPr="00000000" w14:paraId="0000002E">
      <w:pPr>
        <w:spacing w:after="0" w:lineRule="auto"/>
        <w:ind w:left="720" w:hanging="360"/>
        <w:rPr>
          <w:rFonts w:ascii="Verdana" w:cs="Verdana" w:eastAsia="Verdana" w:hAnsi="Verdana"/>
          <w:color w:val="3a6168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3"/>
        <w:keepNext w:val="0"/>
        <w:keepLines w:val="0"/>
        <w:spacing w:after="80" w:before="280" w:lineRule="auto"/>
        <w:ind w:left="720" w:hanging="360"/>
        <w:rPr>
          <w:rFonts w:ascii="Verdana" w:cs="Verdana" w:eastAsia="Verdana" w:hAnsi="Verdana"/>
          <w:color w:val="3a6168"/>
          <w:sz w:val="26"/>
          <w:szCs w:val="26"/>
        </w:rPr>
      </w:pPr>
      <w:bookmarkStart w:colFirst="0" w:colLast="0" w:name="_heading=h.umxvvg4vwsqg" w:id="6"/>
      <w:bookmarkEnd w:id="6"/>
      <w:r w:rsidDel="00000000" w:rsidR="00000000" w:rsidRPr="00000000">
        <w:rPr>
          <w:rFonts w:ascii="Verdana" w:cs="Verdana" w:eastAsia="Verdana" w:hAnsi="Verdana"/>
          <w:color w:val="3a6168"/>
          <w:sz w:val="26"/>
          <w:szCs w:val="26"/>
          <w:rtl w:val="0"/>
        </w:rPr>
        <w:t xml:space="preserve">7. Ideas clave para recordar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spacing w:after="0" w:afterAutospacing="0" w:before="24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EURES es una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red pública europea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de empleo y formación.</w:t>
        <w:br w:type="textWrapping"/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Centraliza ofertas y asesoramiento oficial.</w:t>
        <w:br w:type="textWrapping"/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Permite comparar oportunidades entre países.</w:t>
        <w:br w:type="textWrapping"/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after="24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Ayuda a tomar decisiones informadas y seguras.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426" w:right="0" w:firstLine="0"/>
        <w:jc w:val="both"/>
        <w:rPr>
          <w:rFonts w:ascii="Verdana" w:cs="Verdana" w:eastAsia="Verdana" w:hAnsi="Verdana"/>
          <w:b w:val="1"/>
          <w:bCs w:val="1"/>
          <w:color w:val="3a6168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5840" w:w="12240" w:orient="portrait"/>
      <w:pgMar w:bottom="1440" w:top="2083" w:left="1440" w:right="616" w:header="426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Verdan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-952492</wp:posOffset>
              </wp:positionH>
              <wp:positionV relativeFrom="paragraph">
                <wp:posOffset>17463</wp:posOffset>
              </wp:positionV>
              <wp:extent cx="0" cy="28575"/>
              <wp:effectExtent b="0" l="0" r="0" t="0"/>
              <wp:wrapNone/>
              <wp:docPr id="112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483613" y="3780000"/>
                        <a:ext cx="7724775" cy="0"/>
                      </a:xfrm>
                      <a:prstGeom prst="straightConnector1">
                        <a:avLst/>
                      </a:prstGeom>
                      <a:noFill/>
                      <a:ln cap="flat" cmpd="sng" w="28575">
                        <a:solidFill>
                          <a:srgbClr val="D8D8D8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-952492</wp:posOffset>
              </wp:positionH>
              <wp:positionV relativeFrom="paragraph">
                <wp:posOffset>17463</wp:posOffset>
              </wp:positionV>
              <wp:extent cx="0" cy="28575"/>
              <wp:effectExtent b="0" l="0" r="0" t="0"/>
              <wp:wrapNone/>
              <wp:docPr id="112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2016760</wp:posOffset>
          </wp:positionH>
          <wp:positionV relativeFrom="paragraph">
            <wp:posOffset>159385</wp:posOffset>
          </wp:positionV>
          <wp:extent cx="793115" cy="149225"/>
          <wp:effectExtent b="0" l="0" r="0" t="0"/>
          <wp:wrapNone/>
          <wp:docPr id="11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3115" cy="149225"/>
                  </a:xfrm>
                  <a:prstGeom prst="rect"/>
                  <a:ln/>
                </pic:spPr>
              </pic:pic>
            </a:graphicData>
          </a:graphic>
        </wp:anchor>
      </w:drawing>
    </w:r>
  </w:p>
  <w:tbl>
    <w:tblPr>
      <w:tblStyle w:val="Table2"/>
      <w:tblW w:w="10230.0" w:type="dxa"/>
      <w:jc w:val="left"/>
      <w:tblInd w:w="-743.0" w:type="dxa"/>
      <w:tblLayout w:type="fixed"/>
      <w:tblLook w:val="0400"/>
    </w:tblPr>
    <w:tblGrid>
      <w:gridCol w:w="4253"/>
      <w:gridCol w:w="2897"/>
      <w:gridCol w:w="3080"/>
      <w:tblGridChange w:id="0">
        <w:tblGrid>
          <w:gridCol w:w="4253"/>
          <w:gridCol w:w="2897"/>
          <w:gridCol w:w="3080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03C">
          <w:pPr>
            <w:rPr/>
          </w:pPr>
          <w:r w:rsidDel="00000000" w:rsidR="00000000" w:rsidRPr="00000000">
            <w:rPr>
              <w:rFonts w:ascii="Verdana" w:cs="Verdana" w:eastAsia="Verdana" w:hAnsi="Verdana"/>
              <w:color w:val="3a6168"/>
              <w:sz w:val="18"/>
              <w:szCs w:val="18"/>
              <w:rtl w:val="0"/>
            </w:rPr>
            <w:t xml:space="preserve">Servicio de Educación Permanente. CARM  </w: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3D">
          <w:pPr>
            <w:rPr/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3E">
          <w:pPr>
            <w:jc w:val="right"/>
            <w:rPr/>
          </w:pPr>
          <w:r w:rsidDel="00000000" w:rsidR="00000000" w:rsidRPr="00000000">
            <w:rPr>
              <w:rFonts w:ascii="Verdana" w:cs="Verdana" w:eastAsia="Verdana" w:hAnsi="Verdana"/>
              <w:color w:val="3a6168"/>
              <w:sz w:val="18"/>
              <w:szCs w:val="18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Verdana" w:cs="Verdana" w:eastAsia="Verdana" w:hAnsi="Verdana"/>
              <w:color w:val="3a6168"/>
              <w:sz w:val="18"/>
              <w:szCs w:val="18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-3238497</wp:posOffset>
          </wp:positionH>
          <wp:positionV relativeFrom="paragraph">
            <wp:posOffset>20867121</wp:posOffset>
          </wp:positionV>
          <wp:extent cx="8686800" cy="11241741"/>
          <wp:effectExtent b="0" l="0" r="0" t="0"/>
          <wp:wrapNone/>
          <wp:docPr id="114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686800" cy="11241741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1418" w:right="0" w:firstLine="0"/>
      <w:jc w:val="center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-952492</wp:posOffset>
              </wp:positionH>
              <wp:positionV relativeFrom="paragraph">
                <wp:posOffset>801053</wp:posOffset>
              </wp:positionV>
              <wp:extent cx="0" cy="28575"/>
              <wp:effectExtent b="0" l="0" r="0" t="0"/>
              <wp:wrapNone/>
              <wp:docPr id="111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483613" y="3780000"/>
                        <a:ext cx="7724775" cy="0"/>
                      </a:xfrm>
                      <a:prstGeom prst="straightConnector1">
                        <a:avLst/>
                      </a:prstGeom>
                      <a:noFill/>
                      <a:ln cap="flat" cmpd="sng" w="28575">
                        <a:solidFill>
                          <a:srgbClr val="D8D8D8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-952492</wp:posOffset>
              </wp:positionH>
              <wp:positionV relativeFrom="paragraph">
                <wp:posOffset>801053</wp:posOffset>
              </wp:positionV>
              <wp:extent cx="0" cy="28575"/>
              <wp:effectExtent b="0" l="0" r="0" t="0"/>
              <wp:wrapNone/>
              <wp:docPr id="111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-971542</wp:posOffset>
              </wp:positionH>
              <wp:positionV relativeFrom="paragraph">
                <wp:posOffset>-1199192</wp:posOffset>
              </wp:positionV>
              <wp:extent cx="0" cy="28575"/>
              <wp:effectExtent b="0" l="0" r="0" t="0"/>
              <wp:wrapNone/>
              <wp:docPr id="110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483613" y="3780000"/>
                        <a:ext cx="7724775" cy="0"/>
                      </a:xfrm>
                      <a:prstGeom prst="straightConnector1">
                        <a:avLst/>
                      </a:prstGeom>
                      <a:noFill/>
                      <a:ln cap="flat" cmpd="sng" w="28575">
                        <a:solidFill>
                          <a:srgbClr val="D8D8D8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-971542</wp:posOffset>
              </wp:positionH>
              <wp:positionV relativeFrom="paragraph">
                <wp:posOffset>-1199192</wp:posOffset>
              </wp:positionV>
              <wp:extent cx="0" cy="28575"/>
              <wp:effectExtent b="0" l="0" r="0" t="0"/>
              <wp:wrapNone/>
              <wp:docPr id="110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Table1"/>
      <w:tblW w:w="11060.0" w:type="dxa"/>
      <w:jc w:val="left"/>
      <w:tblInd w:w="-885.0" w:type="dxa"/>
      <w:tblBorders>
        <w:bottom w:color="000000" w:space="0" w:sz="12" w:val="single"/>
      </w:tblBorders>
      <w:tblLayout w:type="fixed"/>
      <w:tblLook w:val="0400"/>
    </w:tblPr>
    <w:tblGrid>
      <w:gridCol w:w="5955"/>
      <w:gridCol w:w="5105"/>
      <w:tblGridChange w:id="0">
        <w:tblGrid>
          <w:gridCol w:w="5955"/>
          <w:gridCol w:w="5105"/>
        </w:tblGrid>
      </w:tblGridChange>
    </w:tblGrid>
    <w:tr>
      <w:trPr>
        <w:cantSplit w:val="0"/>
        <w:trHeight w:val="585" w:hRule="atLeast"/>
        <w:tblHeader w:val="0"/>
      </w:trPr>
      <w:tc>
        <w:tcPr>
          <w:tcBorders>
            <w:bottom w:color="000000" w:space="0" w:sz="0" w:val="nil"/>
          </w:tcBorders>
        </w:tcPr>
        <w:p w:rsidR="00000000" w:rsidDel="00000000" w:rsidP="00000000" w:rsidRDefault="00000000" w:rsidRPr="00000000" w14:paraId="00000036">
          <w:pPr>
            <w:ind w:right="318"/>
            <w:rPr>
              <w:b w:val="1"/>
              <w:bCs w:val="1"/>
            </w:rPr>
          </w:pPr>
          <w:r w:rsidDel="00000000" w:rsidR="00000000" w:rsidRPr="00000000">
            <w:rPr>
              <w:rFonts w:ascii="Verdana" w:cs="Verdana" w:eastAsia="Verdana" w:hAnsi="Verdana"/>
              <w:b w:val="1"/>
              <w:bCs w:val="1"/>
              <w:color w:val="3a6168"/>
              <w:rtl w:val="0"/>
            </w:rPr>
            <w:t xml:space="preserve">REA: Europa en tu bolsillo: Manual de instrucciones para el ciudadano de hoy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bottom w:color="000000" w:space="0" w:sz="0" w:val="nil"/>
          </w:tcBorders>
        </w:tcPr>
        <w:p w:rsidR="00000000" w:rsidDel="00000000" w:rsidP="00000000" w:rsidRDefault="00000000" w:rsidRPr="00000000" w14:paraId="00000037">
          <w:pPr>
            <w:jc w:val="right"/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447676</wp:posOffset>
                </wp:positionH>
                <wp:positionV relativeFrom="paragraph">
                  <wp:posOffset>-28570</wp:posOffset>
                </wp:positionV>
                <wp:extent cx="2511840" cy="401895"/>
                <wp:effectExtent b="0" l="0" r="0" t="0"/>
                <wp:wrapNone/>
                <wp:docPr id="11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1840" cy="4018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000000" w:rsidDel="00000000" w:rsidP="00000000" w:rsidRDefault="00000000" w:rsidRPr="00000000" w14:paraId="0000003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s-ES_tradnl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Ttulo7">
    <w:name w:val="heading 7"/>
    <w:basedOn w:val="Normal"/>
    <w:next w:val="Normal"/>
    <w:link w:val="Ttulo7C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Ttulo8">
    <w:name w:val="heading 8"/>
    <w:basedOn w:val="Normal"/>
    <w:next w:val="Normal"/>
    <w:link w:val="Ttulo8C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 w:val="1"/>
    <w:rsid w:val="00FC693F"/>
    <w:pPr>
      <w:spacing w:after="0" w:line="240" w:lineRule="auto"/>
    </w:pPr>
  </w:style>
  <w:style w:type="character" w:styleId="Ttulo1Car" w:customStyle="1">
    <w:name w:val="Título 1 Car"/>
    <w:basedOn w:val="Fuentedeprrafopredeter"/>
    <w:link w:val="Ttulo1"/>
    <w:uiPriority w:val="9"/>
    <w:rsid w:val="00FC693F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Ttulo2Car" w:customStyle="1">
    <w:name w:val="Título 2 Car"/>
    <w:basedOn w:val="Fuentedeprrafopredeter"/>
    <w:link w:val="Ttulo2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Ttulo3Car" w:customStyle="1">
    <w:name w:val="Título 3 Car"/>
    <w:basedOn w:val="Fuentedeprrafopredeter"/>
    <w:link w:val="Ttulo3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character" w:styleId="PuestoCar" w:customStyle="1">
    <w:name w:val="Puesto Car"/>
    <w:basedOn w:val="Fuentedeprrafopredeter"/>
    <w:link w:val="Puesto"/>
    <w:uiPriority w:val="10"/>
    <w:rsid w:val="00FC693F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SubttuloCar" w:customStyle="1">
    <w:name w:val="Subtítulo Car"/>
    <w:basedOn w:val="Fuentedeprrafopredeter"/>
    <w:link w:val="Subttulo"/>
    <w:uiPriority w:val="11"/>
    <w:rsid w:val="00FC693F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 w:val="1"/>
    <w:rsid w:val="00FC693F"/>
    <w:pPr>
      <w:ind w:left="720"/>
      <w:contextualSpacing w:val="1"/>
    </w:pPr>
  </w:style>
  <w:style w:type="paragraph" w:styleId="Textoindependiente">
    <w:name w:val="Body Text"/>
    <w:basedOn w:val="Normal"/>
    <w:link w:val="TextoindependienteCar"/>
    <w:uiPriority w:val="99"/>
    <w:unhideWhenUsed w:val="1"/>
    <w:rsid w:val="00AA1D8D"/>
    <w:pPr>
      <w:spacing w:after="120"/>
    </w:p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 w:val="1"/>
    <w:rsid w:val="00AA1D8D"/>
    <w:pPr>
      <w:spacing w:after="120" w:line="480" w:lineRule="auto"/>
    </w:p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 w:val="1"/>
    <w:rsid w:val="00AA1D8D"/>
    <w:pPr>
      <w:spacing w:after="120"/>
    </w:pPr>
    <w:rPr>
      <w:sz w:val="16"/>
      <w:szCs w:val="16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 w:val="1"/>
    <w:rsid w:val="00AA1D8D"/>
    <w:pPr>
      <w:ind w:left="360" w:hanging="360"/>
      <w:contextualSpacing w:val="1"/>
    </w:pPr>
  </w:style>
  <w:style w:type="paragraph" w:styleId="Lista2">
    <w:name w:val="List 2"/>
    <w:basedOn w:val="Normal"/>
    <w:uiPriority w:val="99"/>
    <w:unhideWhenUsed w:val="1"/>
    <w:rsid w:val="00326F90"/>
    <w:pPr>
      <w:ind w:left="720" w:hanging="360"/>
      <w:contextualSpacing w:val="1"/>
    </w:pPr>
  </w:style>
  <w:style w:type="paragraph" w:styleId="Lista3">
    <w:name w:val="List 3"/>
    <w:basedOn w:val="Normal"/>
    <w:uiPriority w:val="99"/>
    <w:unhideWhenUsed w:val="1"/>
    <w:rsid w:val="00326F90"/>
    <w:pPr>
      <w:ind w:left="1080" w:hanging="360"/>
      <w:contextualSpacing w:val="1"/>
    </w:pPr>
  </w:style>
  <w:style w:type="paragraph" w:styleId="Listaconvietas">
    <w:name w:val="List Bullet"/>
    <w:basedOn w:val="Normal"/>
    <w:uiPriority w:val="99"/>
    <w:unhideWhenUsed w:val="1"/>
    <w:rsid w:val="00326F90"/>
    <w:pPr>
      <w:numPr>
        <w:numId w:val="1"/>
      </w:numPr>
      <w:contextualSpacing w:val="1"/>
    </w:pPr>
  </w:style>
  <w:style w:type="paragraph" w:styleId="Listaconvietas2">
    <w:name w:val="List Bullet 2"/>
    <w:basedOn w:val="Normal"/>
    <w:uiPriority w:val="99"/>
    <w:unhideWhenUsed w:val="1"/>
    <w:rsid w:val="00326F90"/>
    <w:pPr>
      <w:numPr>
        <w:numId w:val="2"/>
      </w:numPr>
      <w:contextualSpacing w:val="1"/>
    </w:pPr>
  </w:style>
  <w:style w:type="paragraph" w:styleId="Listaconvietas3">
    <w:name w:val="List Bullet 3"/>
    <w:basedOn w:val="Normal"/>
    <w:uiPriority w:val="99"/>
    <w:unhideWhenUsed w:val="1"/>
    <w:rsid w:val="00326F90"/>
    <w:pPr>
      <w:numPr>
        <w:numId w:val="3"/>
      </w:numPr>
      <w:contextualSpacing w:val="1"/>
    </w:pPr>
  </w:style>
  <w:style w:type="paragraph" w:styleId="Listaconnmeros">
    <w:name w:val="List Number"/>
    <w:basedOn w:val="Normal"/>
    <w:uiPriority w:val="99"/>
    <w:unhideWhenUsed w:val="1"/>
    <w:rsid w:val="00326F90"/>
    <w:pPr>
      <w:numPr>
        <w:numId w:val="5"/>
      </w:numPr>
      <w:contextualSpacing w:val="1"/>
    </w:pPr>
  </w:style>
  <w:style w:type="paragraph" w:styleId="Listaconnmeros2">
    <w:name w:val="List Number 2"/>
    <w:basedOn w:val="Normal"/>
    <w:uiPriority w:val="99"/>
    <w:unhideWhenUsed w:val="1"/>
    <w:rsid w:val="0029639D"/>
    <w:pPr>
      <w:numPr>
        <w:numId w:val="6"/>
      </w:numPr>
      <w:contextualSpacing w:val="1"/>
    </w:pPr>
  </w:style>
  <w:style w:type="paragraph" w:styleId="Listaconnmeros3">
    <w:name w:val="List Number 3"/>
    <w:basedOn w:val="Normal"/>
    <w:uiPriority w:val="99"/>
    <w:unhideWhenUsed w:val="1"/>
    <w:rsid w:val="0029639D"/>
    <w:pPr>
      <w:numPr>
        <w:numId w:val="7"/>
      </w:numPr>
      <w:contextualSpacing w:val="1"/>
    </w:pPr>
  </w:style>
  <w:style w:type="paragraph" w:styleId="Continuarlista">
    <w:name w:val="List Continue"/>
    <w:basedOn w:val="Normal"/>
    <w:uiPriority w:val="99"/>
    <w:unhideWhenUsed w:val="1"/>
    <w:rsid w:val="0029639D"/>
    <w:pPr>
      <w:spacing w:after="120"/>
      <w:ind w:left="360"/>
      <w:contextualSpacing w:val="1"/>
    </w:pPr>
  </w:style>
  <w:style w:type="paragraph" w:styleId="Continuarlista2">
    <w:name w:val="List Continue 2"/>
    <w:basedOn w:val="Normal"/>
    <w:uiPriority w:val="99"/>
    <w:unhideWhenUsed w:val="1"/>
    <w:rsid w:val="0029639D"/>
    <w:pPr>
      <w:spacing w:after="120"/>
      <w:ind w:left="720"/>
      <w:contextualSpacing w:val="1"/>
    </w:pPr>
  </w:style>
  <w:style w:type="paragraph" w:styleId="Continuarlista3">
    <w:name w:val="List Continue 3"/>
    <w:basedOn w:val="Normal"/>
    <w:uiPriority w:val="99"/>
    <w:unhideWhenUsed w:val="1"/>
    <w:rsid w:val="0029639D"/>
    <w:pPr>
      <w:spacing w:after="120"/>
      <w:ind w:left="1080"/>
      <w:contextualSpacing w:val="1"/>
    </w:pPr>
  </w:style>
  <w:style w:type="paragraph" w:styleId="Textomacro">
    <w:name w:val="macro"/>
    <w:link w:val="TextomacroCar"/>
    <w:uiPriority w:val="99"/>
    <w:unhideWhenUsed w:val="1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TextomacroCar" w:customStyle="1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 w:val="1"/>
    <w:rsid w:val="00FC693F"/>
    <w:rPr>
      <w:i w:val="1"/>
      <w:iCs w:val="1"/>
      <w:color w:val="000000" w:themeColor="text1"/>
    </w:rPr>
  </w:style>
  <w:style w:type="character" w:styleId="CitaCar" w:customStyle="1">
    <w:name w:val="Cita Car"/>
    <w:basedOn w:val="Fuentedeprrafopredeter"/>
    <w:link w:val="Cita"/>
    <w:uiPriority w:val="29"/>
    <w:rsid w:val="00FC693F"/>
    <w:rPr>
      <w:i w:val="1"/>
      <w:iCs w:val="1"/>
      <w:color w:val="000000" w:themeColor="text1"/>
    </w:rPr>
  </w:style>
  <w:style w:type="character" w:styleId="Ttulo4Car" w:customStyle="1">
    <w:name w:val="Título 4 Car"/>
    <w:basedOn w:val="Fuentedeprrafopredeter"/>
    <w:link w:val="Ttulo4"/>
    <w:uiPriority w:val="9"/>
    <w:semiHidden w:val="1"/>
    <w:rsid w:val="00FC693F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Ttulo5Car" w:customStyle="1">
    <w:name w:val="Título 5 Car"/>
    <w:basedOn w:val="Fuentedeprrafopredeter"/>
    <w:link w:val="Ttulo5"/>
    <w:uiPriority w:val="9"/>
    <w:semiHidden w:val="1"/>
    <w:rsid w:val="00FC693F"/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Ttulo6Car" w:customStyle="1">
    <w:name w:val="Título 6 Car"/>
    <w:basedOn w:val="Fuentedeprrafopredeter"/>
    <w:link w:val="Ttulo6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Ttulo7Car" w:customStyle="1">
    <w:name w:val="Título 7 Car"/>
    <w:basedOn w:val="Fuentedeprrafopredeter"/>
    <w:link w:val="Ttulo7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Ttulo8Car" w:customStyle="1">
    <w:name w:val="Título 8 Car"/>
    <w:basedOn w:val="Fuentedeprrafopredeter"/>
    <w:link w:val="Ttulo8"/>
    <w:uiPriority w:val="9"/>
    <w:semiHidden w:val="1"/>
    <w:rsid w:val="00FC693F"/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Ttulo9Car" w:customStyle="1">
    <w:name w:val="Título 9 Car"/>
    <w:basedOn w:val="Fuentedeprrafopredeter"/>
    <w:link w:val="Ttulo9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Descripcin">
    <w:name w:val="caption"/>
    <w:basedOn w:val="Normal"/>
    <w:next w:val="Normal"/>
    <w:uiPriority w:val="35"/>
    <w:semiHidden w:val="1"/>
    <w:unhideWhenUsed w:val="1"/>
    <w:qFormat w:val="1"/>
    <w:rsid w:val="00FC693F"/>
    <w:pPr>
      <w:spacing w:line="240" w:lineRule="auto"/>
    </w:pPr>
    <w:rPr>
      <w:b w:val="1"/>
      <w:bCs w:val="1"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 w:val="1"/>
    <w:rsid w:val="00FC693F"/>
    <w:rPr>
      <w:b w:val="1"/>
      <w:bCs w:val="1"/>
    </w:rPr>
  </w:style>
  <w:style w:type="character" w:styleId="nfasis">
    <w:name w:val="Emphasis"/>
    <w:basedOn w:val="Fuentedeprrafopredeter"/>
    <w:uiPriority w:val="20"/>
    <w:qFormat w:val="1"/>
    <w:rsid w:val="00FC693F"/>
    <w:rPr>
      <w:i w:val="1"/>
      <w:iCs w:val="1"/>
    </w:rPr>
  </w:style>
  <w:style w:type="paragraph" w:styleId="Citadestacada">
    <w:name w:val="Intense Quote"/>
    <w:basedOn w:val="Normal"/>
    <w:next w:val="Normal"/>
    <w:link w:val="CitadestacadaCar"/>
    <w:uiPriority w:val="30"/>
    <w:qFormat w:val="1"/>
    <w:rsid w:val="00FC693F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FC693F"/>
    <w:rPr>
      <w:b w:val="1"/>
      <w:bCs w:val="1"/>
      <w:i w:val="1"/>
      <w:iCs w:val="1"/>
      <w:color w:val="4f81bd" w:themeColor="accent1"/>
    </w:rPr>
  </w:style>
  <w:style w:type="character" w:styleId="nfasissutil">
    <w:name w:val="Subtle Emphasis"/>
    <w:basedOn w:val="Fuentedeprrafopredeter"/>
    <w:uiPriority w:val="19"/>
    <w:qFormat w:val="1"/>
    <w:rsid w:val="00FC693F"/>
    <w:rPr>
      <w:i w:val="1"/>
      <w:iCs w:val="1"/>
      <w:color w:val="808080" w:themeColor="text1" w:themeTint="00007F"/>
    </w:rPr>
  </w:style>
  <w:style w:type="character" w:styleId="nfasisintenso">
    <w:name w:val="Intense Emphasis"/>
    <w:basedOn w:val="Fuentedeprrafopredeter"/>
    <w:uiPriority w:val="21"/>
    <w:qFormat w:val="1"/>
    <w:rsid w:val="00FC693F"/>
    <w:rPr>
      <w:b w:val="1"/>
      <w:bCs w:val="1"/>
      <w:i w:val="1"/>
      <w:iCs w:val="1"/>
      <w:color w:val="4f81bd" w:themeColor="accent1"/>
    </w:rPr>
  </w:style>
  <w:style w:type="character" w:styleId="Referenciasutil">
    <w:name w:val="Subtle Reference"/>
    <w:basedOn w:val="Fuentedeprrafopredeter"/>
    <w:uiPriority w:val="31"/>
    <w:qFormat w:val="1"/>
    <w:rsid w:val="00FC693F"/>
    <w:rPr>
      <w:smallCaps w:val="1"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 w:val="1"/>
    <w:rsid w:val="00FC693F"/>
    <w:rPr>
      <w:b w:val="1"/>
      <w:bCs w:val="1"/>
      <w:smallCaps w:val="1"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 w:val="1"/>
    <w:rsid w:val="00FC693F"/>
    <w:rPr>
      <w:b w:val="1"/>
      <w:bCs w:val="1"/>
      <w:smallCaps w:val="1"/>
      <w:spacing w:val="5"/>
    </w:rPr>
  </w:style>
  <w:style w:type="paragraph" w:styleId="TtulodeTDC">
    <w:name w:val="TOC Heading"/>
    <w:basedOn w:val="Ttulo1"/>
    <w:next w:val="Normal"/>
    <w:uiPriority w:val="39"/>
    <w:semiHidden w:val="1"/>
    <w:unhideWhenUsed w:val="1"/>
    <w:qFormat w:val="1"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0000BF"/>
    </w:rPr>
    <w:tblPr>
      <w:tblStyleRowBandSize w:val="1"/>
      <w:tblStyleColBandSize w:val="1"/>
      <w:tblBorders>
        <w:top w:color="4f81bd" w:space="0" w:sz="8" w:themeColor="accent1" w:val="single"/>
        <w:bottom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0000BF"/>
    </w:rPr>
    <w:tblPr>
      <w:tblStyleRowBandSize w:val="1"/>
      <w:tblStyleColBandSize w:val="1"/>
      <w:tblBorders>
        <w:top w:color="c0504d" w:space="0" w:sz="8" w:themeColor="accent2" w:val="single"/>
        <w:bottom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0000BF"/>
    </w:rPr>
    <w:tblPr>
      <w:tblStyleRowBandSize w:val="1"/>
      <w:tblStyleColBandSize w:val="1"/>
      <w:tblBorders>
        <w:top w:color="9bbb59" w:space="0" w:sz="8" w:themeColor="accent3" w:val="single"/>
        <w:bottom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0000BF"/>
    </w:rPr>
    <w:tblPr>
      <w:tblStyleRowBandSize w:val="1"/>
      <w:tblStyleColBandSize w:val="1"/>
      <w:tblBorders>
        <w:top w:color="8064a2" w:space="0" w:sz="8" w:themeColor="accent4" w:val="single"/>
        <w:bottom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0000BF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Borders>
        <w:top w:color="f79646" w:space="0" w:sz="8" w:themeColor="accent6" w:val="single"/>
        <w:bottom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1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  <w:shd w:color="auto" w:fill="d3dfee" w:themeFill="accent1" w:themeFillTint="00003F" w:val="clear"/>
      </w:tcPr>
    </w:tblStylePr>
    <w:tblStylePr w:type="band2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1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  <w:shd w:color="auto" w:fill="efd3d2" w:themeFill="accent2" w:themeFillTint="00003F" w:val="clear"/>
      </w:tcPr>
    </w:tblStylePr>
    <w:tblStylePr w:type="band2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0000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1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  <w:shd w:color="auto" w:fill="dfd8e8" w:themeFill="accent4" w:themeFillTint="00003F" w:val="clear"/>
      </w:tcPr>
    </w:tblStylePr>
    <w:tblStylePr w:type="band2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1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  <w:shd w:color="auto" w:fill="d2eaf1" w:themeFill="accent5" w:themeFillTint="00003F" w:val="clear"/>
      </w:tcPr>
    </w:tblStylePr>
    <w:tblStylePr w:type="band2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0000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ba0cd" w:space="0" w:sz="8" w:themeColor="accent1" w:themeTint="0000BF" w:val="sing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ba0cd" w:space="0" w:sz="6" w:themeColor="accent1" w:themeTint="0000BF" w:val="doub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f7b79" w:space="0" w:sz="8" w:themeColor="accent2" w:themeTint="0000BF" w:val="sing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f7b79" w:space="0" w:sz="6" w:themeColor="accent2" w:themeTint="0000BF" w:val="doub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3cc82" w:space="0" w:sz="8" w:themeColor="accent3" w:themeTint="0000BF" w:val="sing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3cc82" w:space="0" w:sz="6" w:themeColor="accent3" w:themeTint="0000BF" w:val="doub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8ab9" w:space="0" w:sz="8" w:themeColor="accent4" w:themeTint="0000BF" w:val="sing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8ab9" w:space="0" w:sz="6" w:themeColor="accent4" w:themeTint="0000BF" w:val="doub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8c0d4" w:space="0" w:sz="8" w:themeColor="accent5" w:themeTint="0000BF" w:val="sing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8c0d4" w:space="0" w:sz="6" w:themeColor="accent5" w:themeTint="0000BF" w:val="doub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9b074" w:space="0" w:sz="8" w:themeColor="accent6" w:themeTint="0000BF" w:val="sing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b074" w:space="0" w:sz="6" w:themeColor="accent6" w:themeTint="0000BF" w:val="doub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bottom w:color="4f81bd" w:space="0" w:sz="8" w:themeColor="accen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f81bd" w:space="0" w:sz="8" w:themeColor="accen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shd w:color="auto" w:fill="d3dfee" w:themeFill="accent1" w:themeFillTint="00003F" w:val="clear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bottom w:color="c0504d" w:space="0" w:sz="8" w:themeColor="accent2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0504d" w:space="0" w:sz="8" w:themeColor="accent2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shd w:color="auto" w:fill="efd3d2" w:themeFill="accent2" w:themeFillTint="00003F" w:val="clear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bottom w:color="9bbb59" w:space="0" w:sz="8" w:themeColor="accent3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bbb59" w:space="0" w:sz="8" w:themeColor="accent3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shd w:color="auto" w:fill="e6eed5" w:themeFill="accent3" w:themeFillTint="00003F" w:val="clear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bottom w:color="8064a2" w:space="0" w:sz="8" w:themeColor="accent4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64a2" w:space="0" w:sz="8" w:themeColor="accent4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shd w:color="auto" w:fill="dfd8e8" w:themeFill="accent4" w:themeFillTint="00003F" w:val="clear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bacc6" w:space="0" w:sz="8" w:themeColor="accent5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shd w:color="auto" w:fill="d2eaf1" w:themeFill="accent5" w:themeFillTint="00003F" w:val="clear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bottom w:color="f79646" w:space="0" w:sz="8" w:themeColor="accent6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79646" w:space="0" w:sz="8" w:themeColor="accent6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shd w:color="auto" w:fill="fde4d0" w:themeFill="accent6" w:themeFillTint="00003F" w:val="clear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f81bd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f81bd" w:space="0" w:sz="8" w:themeColor="accen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f81bd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f81bd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c0504d" w:space="0" w:sz="8" w:themeColor="accent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0504d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0504d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bb5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bbb5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8064a2" w:space="0" w:sz="8" w:themeColor="accent4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64a2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64a2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bacc6" w:space="0" w:sz="8" w:themeColor="accent5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bacc6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bacc6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f79646" w:space="0" w:sz="8" w:themeColor="accent6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79646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79646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  <w:insideV w:color="7ba0cd" w:space="0" w:sz="8" w:themeColor="accent1" w:themeTint="0000BF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ba0c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  <w:insideV w:color="cf7b79" w:space="0" w:sz="8" w:themeColor="accent2" w:themeTint="0000BF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f7b79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  <w:insideV w:color="b3cc82" w:space="0" w:sz="8" w:themeColor="accent3" w:themeTint="0000BF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3cc82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  <w:insideV w:color="9f8ab9" w:space="0" w:sz="8" w:themeColor="accent4" w:themeTint="0000BF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8ab9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  <w:insideV w:color="78c0d4" w:space="0" w:sz="8" w:themeColor="accent5" w:themeTint="0000BF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8c0d4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  <w:insideV w:color="f9b074" w:space="0" w:sz="8" w:themeColor="accent6" w:themeTint="0000BF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9b074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2f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be5f1" w:themeFill="accent1" w:themeFillTint="000033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tcBorders>
          <w:insideH w:color="4f81bd" w:space="0" w:sz="6" w:themeColor="accent1" w:val="single"/>
          <w:insideV w:color="4f81bd" w:space="0" w:sz="6" w:themeColor="accent1" w:val="single"/>
        </w:tcBorders>
        <w:shd w:color="auto" w:fill="a7bfde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ded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dbdb" w:themeFill="accent2" w:themeFillTint="000033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tcBorders>
          <w:insideH w:color="c0504d" w:space="0" w:sz="6" w:themeColor="accent2" w:val="single"/>
          <w:insideV w:color="c0504d" w:space="0" w:sz="6" w:themeColor="accent2" w:val="single"/>
        </w:tcBorders>
        <w:shd w:color="auto" w:fill="dfa7a6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8ee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f1dd" w:themeFill="accent3" w:themeFillTint="000033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tcBorders>
          <w:insideH w:color="9bbb59" w:space="0" w:sz="6" w:themeColor="accent3" w:val="single"/>
          <w:insideV w:color="9bbb59" w:space="0" w:sz="6" w:themeColor="accent3" w:val="single"/>
        </w:tcBorders>
        <w:shd w:color="auto" w:fill="cdddac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ef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dfec" w:themeFill="accent4" w:themeFillTint="000033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tcBorders>
          <w:insideH w:color="8064a2" w:space="0" w:sz="6" w:themeColor="accent4" w:val="single"/>
          <w:insideV w:color="8064a2" w:space="0" w:sz="6" w:themeColor="accent4" w:val="single"/>
        </w:tcBorders>
        <w:shd w:color="auto" w:fill="bfb1d0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6f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aeef3" w:themeFill="accent5" w:themeFillTint="000033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tcBorders>
          <w:insideH w:color="4bacc6" w:space="0" w:sz="6" w:themeColor="accent5" w:val="single"/>
          <w:insideV w:color="4bacc6" w:space="0" w:sz="6" w:themeColor="accent5" w:val="single"/>
        </w:tcBorders>
        <w:shd w:color="auto" w:fill="a5d5e2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4ec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9d9" w:themeFill="accent6" w:themeFillTint="000033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tcBorders>
          <w:insideH w:color="f79646" w:space="0" w:sz="6" w:themeColor="accent6" w:val="single"/>
          <w:insideV w:color="f79646" w:space="0" w:sz="6" w:themeColor="accent6" w:val="single"/>
        </w:tcBorders>
        <w:shd w:color="auto" w:fill="fbcaa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7bfde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7bfde" w:themeFill="accent1" w:themeFillTint="00007F" w:val="clear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fa7a6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a7a6" w:themeFill="accent2" w:themeFillTint="00007F" w:val="clear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ddac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dac" w:themeFill="accent3" w:themeFillTint="00007F" w:val="clear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b1d0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b1d0" w:themeFill="accent4" w:themeFillTint="00007F" w:val="clear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5d5e2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5d5e2" w:themeFill="accent5" w:themeFillTint="00007F" w:val="clear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bcaa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00007F" w:val="clear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4f81bd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43f60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c0504d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22423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9bbb5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6128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8064a2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f3151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4bacc6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05867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f79646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74706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df2f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c4c7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c4c74" w:space="0" w:sz="4" w:themeColor="accent1" w:themeShade="000099" w:val="single"/>
          <w:insideV w:space="0" w:sz="0" w:val="nil"/>
        </w:tcBorders>
        <w:shd w:color="auto" w:fill="2c4c7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c4c74" w:themeFill="accent1" w:themeFillShade="000099" w:val="clear"/>
      </w:tcPr>
    </w:tblStylePr>
    <w:tblStylePr w:type="band1Vert">
      <w:tblPr/>
      <w:tcPr>
        <w:shd w:color="auto" w:fill="b8cce4" w:themeFill="accent1" w:themeFillTint="000066" w:val="clear"/>
      </w:tcPr>
    </w:tblStylePr>
    <w:tblStylePr w:type="band1Horz">
      <w:tblPr/>
      <w:tcPr>
        <w:shd w:color="auto" w:fill="a7bfde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c0504d" w:space="0" w:sz="4" w:themeColor="accent2" w:val="single"/>
        <w:bottom w:color="c0504d" w:space="0" w:sz="4" w:themeColor="accent2" w:val="single"/>
        <w:right w:color="c0504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8eded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72c2a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72c2a" w:space="0" w:sz="4" w:themeColor="accent2" w:themeShade="000099" w:val="single"/>
          <w:insideV w:space="0" w:sz="0" w:val="nil"/>
        </w:tcBorders>
        <w:shd w:color="auto" w:fill="772c2a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c2a" w:themeFill="accent2" w:themeFillShade="000099" w:val="clear"/>
      </w:tcPr>
    </w:tblStylePr>
    <w:tblStylePr w:type="band1Vert">
      <w:tblPr/>
      <w:tcPr>
        <w:shd w:color="auto" w:fill="e5b8b7" w:themeFill="accent2" w:themeFillTint="000066" w:val="clear"/>
      </w:tcPr>
    </w:tblStylePr>
    <w:tblStylePr w:type="band1Horz">
      <w:tblPr/>
      <w:tcPr>
        <w:shd w:color="auto" w:fill="dfa7a6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64a2" w:space="0" w:sz="24" w:themeColor="accent4" w:val="single"/>
        <w:left w:color="9bbb59" w:space="0" w:sz="4" w:themeColor="accent3" w:val="single"/>
        <w:bottom w:color="9bbb59" w:space="0" w:sz="4" w:themeColor="accent3" w:val="single"/>
        <w:right w:color="9bbb5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f8ee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e753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e7530" w:space="0" w:sz="4" w:themeColor="accent3" w:themeShade="000099" w:val="single"/>
          <w:insideV w:space="0" w:sz="0" w:val="nil"/>
        </w:tcBorders>
        <w:shd w:color="auto" w:fill="5e753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e7530" w:themeFill="accent3" w:themeFillShade="000099" w:val="clear"/>
      </w:tcPr>
    </w:tblStylePr>
    <w:tblStylePr w:type="band1Vert">
      <w:tblPr/>
      <w:tcPr>
        <w:shd w:color="auto" w:fill="d6e3bc" w:themeFill="accent3" w:themeFillTint="000066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bbb59" w:space="0" w:sz="24" w:themeColor="accent3" w:val="single"/>
        <w:left w:color="8064a2" w:space="0" w:sz="4" w:themeColor="accent4" w:val="single"/>
        <w:bottom w:color="8064a2" w:space="0" w:sz="4" w:themeColor="accent4" w:val="single"/>
        <w:right w:color="8064a2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2ef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4c3b62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4c3b62" w:space="0" w:sz="4" w:themeColor="accent4" w:themeShade="000099" w:val="single"/>
          <w:insideV w:space="0" w:sz="0" w:val="nil"/>
        </w:tcBorders>
        <w:shd w:color="auto" w:fill="4c3b62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3b62" w:themeFill="accent4" w:themeFillShade="000099" w:val="clear"/>
      </w:tcPr>
    </w:tblStylePr>
    <w:tblStylePr w:type="band1Vert">
      <w:tblPr/>
      <w:tcPr>
        <w:shd w:color="auto" w:fill="ccc0d9" w:themeFill="accent4" w:themeFillTint="000066" w:val="clear"/>
      </w:tcPr>
    </w:tblStylePr>
    <w:tblStylePr w:type="band1Horz">
      <w:tblPr/>
      <w:tcPr>
        <w:shd w:color="auto" w:fill="bfb1d0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79646" w:space="0" w:sz="24" w:themeColor="accent6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df6f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76a7c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76a7c" w:space="0" w:sz="4" w:themeColor="accent5" w:themeShade="000099" w:val="single"/>
          <w:insideV w:space="0" w:sz="0" w:val="nil"/>
        </w:tcBorders>
        <w:shd w:color="auto" w:fill="276a7c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76a7c" w:themeFill="accent5" w:themeFillShade="000099" w:val="clear"/>
      </w:tcPr>
    </w:tblStylePr>
    <w:tblStylePr w:type="band1Vert">
      <w:tblPr/>
      <w:tcPr>
        <w:shd w:color="auto" w:fill="b6dde8" w:themeFill="accent5" w:themeFillTint="000066" w:val="clear"/>
      </w:tcPr>
    </w:tblStylePr>
    <w:tblStylePr w:type="band1Horz">
      <w:tblPr/>
      <w:tcPr>
        <w:shd w:color="auto" w:fill="a5d5e2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bacc6" w:space="0" w:sz="24" w:themeColor="accent5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ef4ec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65608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65608" w:space="0" w:sz="4" w:themeColor="accent6" w:themeShade="000099" w:val="single"/>
          <w:insideV w:space="0" w:sz="0" w:val="nil"/>
        </w:tcBorders>
        <w:shd w:color="auto" w:fill="b65608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65608" w:themeFill="accent6" w:themeFillShade="000099" w:val="clear"/>
      </w:tcPr>
    </w:tblStylePr>
    <w:tblStylePr w:type="band1Vert">
      <w:tblPr/>
      <w:tcPr>
        <w:shd w:color="auto" w:fill="fbd4b4" w:themeFill="accent6" w:themeFillTint="000066" w:val="clear"/>
      </w:tcPr>
    </w:tblStylePr>
    <w:tblStylePr w:type="band1Horz">
      <w:tblPr/>
      <w:tcPr>
        <w:shd w:color="auto" w:fill="fbcaa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df2f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8eded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shd w:color="auto" w:fill="f2dbdb" w:themeFill="accent2" w:themeFillTint="000033" w:val="clear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5f8ee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64e82" w:themeFill="accent4" w:themeFillShade="0000CC" w:val="clear"/>
      </w:tcPr>
    </w:tblStylePr>
    <w:tblStylePr w:type="lastRow">
      <w:rPr>
        <w:b w:val="1"/>
        <w:bCs w:val="1"/>
        <w:color w:val="664e82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2ef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e9c40" w:themeFill="accent3" w:themeFillShade="0000CC" w:val="clear"/>
      </w:tcPr>
    </w:tblStylePr>
    <w:tblStylePr w:type="lastRow">
      <w:rPr>
        <w:b w:val="1"/>
        <w:bCs w:val="1"/>
        <w:color w:val="7e9c40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shd w:color="auto" w:fill="e5dfec" w:themeFill="accent4" w:themeFillTint="000033" w:val="clear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df6f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f2730a" w:themeFill="accent6" w:themeFillShade="0000CC" w:val="clear"/>
      </w:tcPr>
    </w:tblStylePr>
    <w:tblStylePr w:type="lastRow">
      <w:rPr>
        <w:b w:val="1"/>
        <w:bCs w:val="1"/>
        <w:color w:val="f2730a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ef4ec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348da5" w:themeFill="accent5" w:themeFillShade="0000CC" w:val="clear"/>
      </w:tcPr>
    </w:tblStylePr>
    <w:tblStylePr w:type="lastRow">
      <w:rPr>
        <w:b w:val="1"/>
        <w:bCs w:val="1"/>
        <w:color w:val="348da5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shd w:color="auto" w:fill="fde9d9" w:themeFill="accent6" w:themeFillTint="000033" w:val="clear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dbe5f1" w:themeFill="accent1" w:themeFillTint="000033" w:val="clear"/>
    </w:tcPr>
    <w:tblStylePr w:type="firstRow">
      <w:rPr>
        <w:b w:val="1"/>
        <w:bCs w:val="1"/>
      </w:rPr>
      <w:tblPr/>
      <w:tcPr>
        <w:shd w:color="auto" w:fill="b8cce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8cce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2dbdb" w:themeFill="accent2" w:themeFillTint="000033" w:val="clear"/>
    </w:tcPr>
    <w:tblStylePr w:type="firstRow">
      <w:rPr>
        <w:b w:val="1"/>
        <w:bCs w:val="1"/>
      </w:rPr>
      <w:tblPr/>
      <w:tcPr>
        <w:shd w:color="auto" w:fill="e5b8b7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5b8b7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af1dd" w:themeFill="accent3" w:themeFillTint="000033" w:val="clear"/>
    </w:tcPr>
    <w:tblStylePr w:type="firstRow">
      <w:rPr>
        <w:b w:val="1"/>
        <w:bCs w:val="1"/>
      </w:rPr>
      <w:tblPr/>
      <w:tcPr>
        <w:shd w:color="auto" w:fill="d6e3bc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e3bc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5dfec" w:themeFill="accent4" w:themeFillTint="000033" w:val="clear"/>
    </w:tcPr>
    <w:tblStylePr w:type="firstRow">
      <w:rPr>
        <w:b w:val="1"/>
        <w:bCs w:val="1"/>
      </w:rPr>
      <w:tblPr/>
      <w:tcPr>
        <w:shd w:color="auto" w:fill="ccc0d9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c0d9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daeef3" w:themeFill="accent5" w:themeFillTint="000033" w:val="clear"/>
    </w:tcPr>
    <w:tblStylePr w:type="firstRow">
      <w:rPr>
        <w:b w:val="1"/>
        <w:bCs w:val="1"/>
      </w:rPr>
      <w:tblPr/>
      <w:tcPr>
        <w:shd w:color="auto" w:fill="b6dde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6dde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de9d9" w:themeFill="accent6" w:themeFillTint="000033" w:val="clear"/>
    </w:tcPr>
    <w:tblStylePr w:type="firstRow">
      <w:rPr>
        <w:b w:val="1"/>
        <w:bCs w:val="1"/>
      </w:rPr>
      <w:tblPr/>
      <w:tcPr>
        <w:shd w:color="auto" w:fill="fbd4b4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bd4b4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character" w:styleId="Hipervnculo">
    <w:name w:val="Hyperlink"/>
    <w:basedOn w:val="Fuentedeprrafopredeter"/>
    <w:uiPriority w:val="99"/>
    <w:unhideWhenUsed w:val="1"/>
    <w:rsid w:val="000E3874"/>
    <w:rPr>
      <w:color w:val="0000ff" w:themeColor="hyperlink"/>
      <w:u w:val="singl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iCs w:val="1"/>
      <w:color w:val="4f81bd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2.png"/><Relationship Id="rId3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1w/dAiXr0V9mia09KCH/AdT+nQ==">CgMxLjAyDWguZXZteWc4ODliYXcyDmguaDJjMDR1M2p5Y2pvMg5oLnA0bjRsaHZkcHR0OTIOaC42dzFtbXRxM3VieW8yDmgudWs0bXA5a2ozczl4Mg5oLjR2bjg4eWM3NnVuazIOaC51bXh2dmc0dndzcWc4AHIhMVI0dnVaWFc0UGRmb3FyRGh1ZF9hTkhKaEtSMG9VUndK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2025-09-01T11:14:00Z</dcterms:created>
  <dc:creator>python-docx</dc:creator>
</cp:coreProperties>
</file>